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98BD"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46DD4B06"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0"/>
      </w:tblGrid>
      <w:tr w:rsidR="001F0BAA" w:rsidRPr="001F0BAA" w14:paraId="10E4D1BE" w14:textId="77777777" w:rsidTr="00962931">
        <w:trPr>
          <w:trHeight w:val="796"/>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29400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2D6528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329AD29" w14:textId="75653967" w:rsidR="001F0BAA" w:rsidRPr="00720737" w:rsidRDefault="00CC5243" w:rsidP="00720737">
            <w:pPr>
              <w:ind w:left="89"/>
              <w:outlineLvl w:val="0"/>
              <w:rPr>
                <w:rFonts w:ascii="Times New Roman" w:hAnsi="Times New Roman" w:cs="Times New Roman"/>
                <w:color w:val="333333"/>
                <w:sz w:val="24"/>
                <w:szCs w:val="24"/>
                <w:highlight w:val="yellow"/>
                <w:lang w:eastAsia="uk-UA"/>
              </w:rPr>
            </w:pPr>
            <w:r w:rsidRPr="00CC5243">
              <w:rPr>
                <w:rFonts w:ascii="Times New Roman" w:eastAsia="Times New Roman" w:hAnsi="Times New Roman" w:cs="Times New Roman"/>
                <w:color w:val="333333"/>
                <w:sz w:val="24"/>
                <w:szCs w:val="24"/>
                <w:lang w:eastAsia="uk-UA"/>
              </w:rPr>
              <w:t>Пакети програмного забезпечення для захисту від вірусів -за кодом CPV за ДК 021:2015 - 48760000-3 ( відповідний код за ДК 021:2015 – 48761000-0 Пакети (ліцензії) антивірусного програмного забезпечення ).</w:t>
            </w:r>
          </w:p>
        </w:tc>
      </w:tr>
      <w:tr w:rsidR="001F0BAA" w:rsidRPr="001F0BAA" w14:paraId="6131C5A9"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54F2351"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80AA43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B4B420E" w14:textId="2D91FFE6" w:rsidR="001F0BAA" w:rsidRPr="00045C3C" w:rsidRDefault="00CC5243" w:rsidP="00DD7335">
            <w:pPr>
              <w:spacing w:after="0" w:line="240" w:lineRule="auto"/>
              <w:jc w:val="center"/>
              <w:rPr>
                <w:rFonts w:ascii="Times New Roman" w:eastAsia="Times New Roman" w:hAnsi="Times New Roman" w:cs="Times New Roman"/>
                <w:color w:val="333333"/>
                <w:sz w:val="24"/>
                <w:szCs w:val="24"/>
                <w:lang w:val="en-US" w:eastAsia="uk-UA"/>
              </w:rPr>
            </w:pPr>
            <w:r w:rsidRPr="00CC5243">
              <w:rPr>
                <w:rFonts w:ascii="Times New Roman" w:eastAsia="Times New Roman" w:hAnsi="Times New Roman" w:cs="Times New Roman"/>
                <w:color w:val="333333"/>
                <w:sz w:val="24"/>
                <w:szCs w:val="24"/>
                <w:lang w:eastAsia="uk-UA"/>
              </w:rPr>
              <w:t>UA-2025-05-06-010714-a</w:t>
            </w:r>
          </w:p>
        </w:tc>
      </w:tr>
      <w:tr w:rsidR="001F0BAA" w:rsidRPr="001F0BAA" w14:paraId="07576572" w14:textId="77777777"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78D58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FA4CD4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062D9FA"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4B5141D5"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78A056D3" w14:textId="77777777"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EDB6A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28FCC25"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4F3DAB0" w14:textId="2D1F4C44" w:rsidR="00BF592F" w:rsidRPr="00482D62" w:rsidRDefault="00BF592F" w:rsidP="00BF592F">
            <w:pPr>
              <w:pStyle w:val="ab"/>
              <w:shd w:val="clear" w:color="auto" w:fill="F5F5F5"/>
              <w:spacing w:before="0" w:beforeAutospacing="0" w:after="0" w:afterAutospacing="0"/>
              <w:jc w:val="both"/>
              <w:rPr>
                <w:color w:val="444444"/>
              </w:rPr>
            </w:pPr>
            <w:r w:rsidRPr="00482D62">
              <w:rPr>
                <w:color w:val="000000"/>
              </w:rPr>
              <w:t xml:space="preserve">  </w:t>
            </w:r>
            <w:r w:rsidRPr="00DA15B7">
              <w:rPr>
                <w:color w:val="000000"/>
              </w:rPr>
              <w:t>З огляду на проведений аналіз та зібрану інформацію щодо предмета закупівлі</w:t>
            </w:r>
            <w:r w:rsidR="00DA15B7">
              <w:rPr>
                <w:color w:val="000000"/>
              </w:rPr>
              <w:t>,</w:t>
            </w:r>
            <w:r w:rsidRPr="00DA15B7">
              <w:rPr>
                <w:color w:val="000000"/>
              </w:rPr>
              <w:t xml:space="preserve"> з метою ефективного та раціонального використання бюджетних коштів,</w:t>
            </w:r>
            <w:r w:rsidR="00DA15B7" w:rsidRPr="00DA15B7">
              <w:rPr>
                <w:color w:val="000000"/>
              </w:rPr>
              <w:t xml:space="preserve"> шляхом </w:t>
            </w:r>
            <w:r w:rsidR="00DA15B7" w:rsidRPr="00DA15B7">
              <w:t>самостійного аналізу цін на аналогічн</w:t>
            </w:r>
            <w:r w:rsidR="00DA15B7">
              <w:t>у</w:t>
            </w:r>
            <w:r w:rsidR="00DA15B7" w:rsidRPr="00DA15B7">
              <w:t xml:space="preserve"> за технічними характеристиками програмн</w:t>
            </w:r>
            <w:r w:rsidR="00DA15B7">
              <w:t>у</w:t>
            </w:r>
            <w:r w:rsidR="00DA15B7" w:rsidRPr="00DA15B7">
              <w:t xml:space="preserve"> продукці</w:t>
            </w:r>
            <w:r w:rsidR="00DA15B7">
              <w:t>ю</w:t>
            </w:r>
            <w:r w:rsidR="00DA15B7" w:rsidRPr="00DA15B7">
              <w:t xml:space="preserve"> через мережу Інтернет та в електронній системі закупівель Prozorro</w:t>
            </w:r>
            <w:r w:rsidR="00DA15B7">
              <w:t xml:space="preserve"> визначено очікувану вартість .</w:t>
            </w:r>
          </w:p>
          <w:p w14:paraId="33E26985" w14:textId="31CB2139" w:rsidR="00805ED1" w:rsidRPr="00805ED1" w:rsidRDefault="00BF592F" w:rsidP="0057416C">
            <w:pPr>
              <w:pStyle w:val="text-secondary"/>
              <w:pBdr>
                <w:top w:val="single" w:sz="2" w:space="0" w:color="E5E7EB"/>
                <w:left w:val="single" w:sz="2" w:space="0" w:color="E5E7EB"/>
                <w:bottom w:val="single" w:sz="2" w:space="0" w:color="E5E7EB"/>
                <w:right w:val="single" w:sz="2" w:space="0" w:color="E5E7EB"/>
              </w:pBdr>
              <w:spacing w:before="0" w:beforeAutospacing="0" w:after="0" w:afterAutospacing="0"/>
              <w:rPr>
                <w:color w:val="000000"/>
              </w:rPr>
            </w:pPr>
            <w:r w:rsidRPr="00482D62">
              <w:rPr>
                <w:color w:val="000000"/>
              </w:rPr>
              <w:t xml:space="preserve">   </w:t>
            </w:r>
            <w:r w:rsidR="00805ED1" w:rsidRPr="0057416C">
              <w:rPr>
                <w:color w:val="000000"/>
                <w:bdr w:val="single" w:sz="2" w:space="0" w:color="E5E7EB" w:frame="1"/>
              </w:rPr>
              <w:t xml:space="preserve">Очікувана вартість предмета закупівлі, яка складає </w:t>
            </w:r>
            <w:r w:rsidR="0057416C" w:rsidRPr="0057416C">
              <w:rPr>
                <w:color w:val="000000"/>
                <w:bdr w:val="single" w:sz="2" w:space="0" w:color="E5E7EB" w:frame="1"/>
              </w:rPr>
              <w:t>588188</w:t>
            </w:r>
            <w:r w:rsidR="00805ED1" w:rsidRPr="0057416C">
              <w:rPr>
                <w:color w:val="000000"/>
                <w:bdr w:val="single" w:sz="2" w:space="0" w:color="E5E7EB" w:frame="1"/>
              </w:rPr>
              <w:t>,0</w:t>
            </w:r>
            <w:r w:rsidR="0057416C" w:rsidRPr="0057416C">
              <w:rPr>
                <w:color w:val="000000"/>
                <w:bdr w:val="single" w:sz="2" w:space="0" w:color="E5E7EB" w:frame="1"/>
              </w:rPr>
              <w:t>0</w:t>
            </w:r>
            <w:r w:rsidR="00805ED1" w:rsidRPr="0057416C">
              <w:rPr>
                <w:color w:val="000000"/>
                <w:bdr w:val="single" w:sz="2" w:space="0" w:color="E5E7EB" w:frame="1"/>
              </w:rPr>
              <w:t> грн</w:t>
            </w:r>
            <w:r w:rsidR="0057416C" w:rsidRPr="0057416C">
              <w:rPr>
                <w:color w:val="000000"/>
                <w:bdr w:val="single" w:sz="2" w:space="0" w:color="E5E7EB" w:frame="1"/>
              </w:rPr>
              <w:t>.,</w:t>
            </w:r>
            <w:r w:rsidR="00805ED1" w:rsidRPr="0057416C">
              <w:rPr>
                <w:color w:val="000000"/>
                <w:bdr w:val="single" w:sz="2" w:space="0" w:color="E5E7EB" w:frame="1"/>
              </w:rPr>
              <w:t xml:space="preserve"> з ПДВ, підтверджена розрахунками, здійсненими відповідно до Примірної методики визначення очікуваної вартості предмета закупівлі, затвердженої наказом Мінекономіки від 18.02.2020 № 275 методом розрахунку очікуваної вартості послуг </w:t>
            </w:r>
            <w:r w:rsidR="00DA15B7">
              <w:rPr>
                <w:color w:val="000000"/>
                <w:bdr w:val="single" w:sz="2" w:space="0" w:color="E5E7EB" w:frame="1"/>
              </w:rPr>
              <w:t xml:space="preserve">методом отримання не менше 3-х </w:t>
            </w:r>
            <w:r w:rsidR="00805ED1" w:rsidRPr="0057416C">
              <w:rPr>
                <w:color w:val="000000"/>
                <w:bdr w:val="single" w:sz="2" w:space="0" w:color="E5E7EB" w:frame="1"/>
              </w:rPr>
              <w:t xml:space="preserve"> комерційних пропозицій від </w:t>
            </w:r>
            <w:r w:rsidR="0057416C">
              <w:rPr>
                <w:color w:val="000000"/>
                <w:bdr w:val="single" w:sz="2" w:space="0" w:color="E5E7EB" w:frame="1"/>
              </w:rPr>
              <w:t>п</w:t>
            </w:r>
            <w:r w:rsidR="00805ED1" w:rsidRPr="0057416C">
              <w:rPr>
                <w:color w:val="000000"/>
                <w:bdr w:val="single" w:sz="2" w:space="0" w:color="E5E7EB" w:frame="1"/>
              </w:rPr>
              <w:t>остачальників відповідної програмної продукції, а саме:</w:t>
            </w:r>
          </w:p>
          <w:p w14:paraId="4CF75F46" w14:textId="09EA934C" w:rsidR="00805ED1" w:rsidRPr="00805ED1" w:rsidRDefault="00805ED1" w:rsidP="0057416C">
            <w:pPr>
              <w:pStyle w:val="ab"/>
              <w:spacing w:before="0" w:beforeAutospacing="0" w:after="0" w:afterAutospacing="0"/>
              <w:jc w:val="both"/>
              <w:rPr>
                <w:i/>
                <w:iCs/>
                <w:color w:val="000000"/>
              </w:rPr>
            </w:pPr>
            <w:r>
              <w:rPr>
                <w:color w:val="000000"/>
                <w:bdr w:val="single" w:sz="2" w:space="0" w:color="E5E7EB" w:frame="1"/>
              </w:rPr>
              <w:t xml:space="preserve">ТОВ «Дайтекс» - 582823,20 грн., ТОВ «Бізнесцентр-Документ ЛТД»- 588500 грн., ТОВ «Білінтех Україна» -593239,68 грн. </w:t>
            </w:r>
            <w:r w:rsidR="00962931" w:rsidRPr="00482D62">
              <w:rPr>
                <w:color w:val="000000"/>
              </w:rPr>
              <w:t xml:space="preserve"> </w:t>
            </w:r>
            <w:r w:rsidR="00BF592F" w:rsidRPr="00482D62">
              <w:rPr>
                <w:color w:val="000000"/>
              </w:rPr>
              <w:t xml:space="preserve"> </w:t>
            </w:r>
          </w:p>
          <w:p w14:paraId="7C6F33CD" w14:textId="77777777" w:rsidR="00805ED1" w:rsidRDefault="00805ED1" w:rsidP="0057416C">
            <w:pPr>
              <w:pStyle w:val="ab"/>
              <w:spacing w:before="0" w:beforeAutospacing="0" w:after="0" w:afterAutospacing="0"/>
              <w:jc w:val="both"/>
              <w:rPr>
                <w:bCs/>
                <w:iCs/>
              </w:rPr>
            </w:pPr>
          </w:p>
          <w:p w14:paraId="0734334A" w14:textId="1D3DBDE7" w:rsidR="00805ED1" w:rsidRPr="00482D62" w:rsidRDefault="00805ED1" w:rsidP="00AA5D3B">
            <w:pPr>
              <w:pStyle w:val="ab"/>
              <w:shd w:val="clear" w:color="auto" w:fill="F5F5F5"/>
              <w:spacing w:before="0" w:beforeAutospacing="0" w:after="0" w:afterAutospacing="0"/>
              <w:jc w:val="both"/>
            </w:pPr>
          </w:p>
        </w:tc>
      </w:tr>
      <w:tr w:rsidR="001F0BAA" w:rsidRPr="001F0BAA" w14:paraId="679692A2" w14:textId="77777777"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2FDEA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97D8C3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787112" w14:textId="1A0546FD" w:rsidR="00FA4E3E" w:rsidRPr="00482D62" w:rsidRDefault="00713751" w:rsidP="00DD7335">
            <w:pPr>
              <w:pStyle w:val="10"/>
              <w:ind w:left="0"/>
              <w:jc w:val="both"/>
              <w:rPr>
                <w:lang w:eastAsia="uk-UA"/>
              </w:rPr>
            </w:pPr>
            <w:r w:rsidRPr="00482D62">
              <w:rPr>
                <w:sz w:val="24"/>
                <w:szCs w:val="24"/>
              </w:rPr>
              <w:t xml:space="preserve">  </w:t>
            </w:r>
            <w:r w:rsidR="00956F7B" w:rsidRPr="00482D62">
              <w:rPr>
                <w:sz w:val="24"/>
                <w:szCs w:val="24"/>
              </w:rPr>
              <w:t xml:space="preserve">Розмір бюджетного призначення </w:t>
            </w:r>
            <w:r w:rsidR="000115F4" w:rsidRPr="00482D62">
              <w:rPr>
                <w:sz w:val="24"/>
                <w:szCs w:val="24"/>
              </w:rPr>
              <w:t xml:space="preserve">предмета  закупівлі </w:t>
            </w:r>
            <w:r w:rsidR="00956F7B" w:rsidRPr="00482D62">
              <w:rPr>
                <w:sz w:val="24"/>
                <w:szCs w:val="24"/>
              </w:rPr>
              <w:t xml:space="preserve"> </w:t>
            </w:r>
            <w:r w:rsidR="008F5AC0" w:rsidRPr="00482D62">
              <w:rPr>
                <w:sz w:val="24"/>
                <w:szCs w:val="24"/>
              </w:rPr>
              <w:t xml:space="preserve"> </w:t>
            </w:r>
            <w:r w:rsidR="00DA15B7">
              <w:rPr>
                <w:sz w:val="24"/>
                <w:szCs w:val="24"/>
              </w:rPr>
              <w:t>у межах видатків</w:t>
            </w:r>
            <w:r w:rsidR="00CA675E" w:rsidRPr="00482D62">
              <w:rPr>
                <w:sz w:val="24"/>
                <w:szCs w:val="24"/>
              </w:rPr>
              <w:t xml:space="preserve"> </w:t>
            </w:r>
            <w:r w:rsidR="00DD7335" w:rsidRPr="00482D62">
              <w:rPr>
                <w:sz w:val="24"/>
                <w:szCs w:val="24"/>
              </w:rPr>
              <w:t>згідно кошторисних призначень на 202</w:t>
            </w:r>
            <w:r w:rsidR="009623FD">
              <w:rPr>
                <w:sz w:val="24"/>
                <w:szCs w:val="24"/>
              </w:rPr>
              <w:t>5</w:t>
            </w:r>
            <w:r w:rsidR="00DD7335" w:rsidRPr="00482D62">
              <w:rPr>
                <w:sz w:val="24"/>
                <w:szCs w:val="24"/>
              </w:rPr>
              <w:t xml:space="preserve"> рік </w:t>
            </w:r>
            <w:r w:rsidR="00956F7B" w:rsidRPr="00482D62">
              <w:rPr>
                <w:sz w:val="24"/>
                <w:szCs w:val="24"/>
              </w:rPr>
              <w:t xml:space="preserve">становить </w:t>
            </w:r>
            <w:r w:rsidR="001F083E" w:rsidRPr="00482D62">
              <w:rPr>
                <w:sz w:val="24"/>
                <w:szCs w:val="24"/>
              </w:rPr>
              <w:t xml:space="preserve"> </w:t>
            </w:r>
            <w:r w:rsidR="0057416C">
              <w:rPr>
                <w:sz w:val="24"/>
                <w:szCs w:val="24"/>
              </w:rPr>
              <w:t>588188</w:t>
            </w:r>
            <w:r w:rsidR="009623FD" w:rsidRPr="009623FD">
              <w:rPr>
                <w:sz w:val="24"/>
                <w:szCs w:val="24"/>
              </w:rPr>
              <w:t xml:space="preserve"> грн. </w:t>
            </w:r>
            <w:r w:rsidR="009D50F6">
              <w:rPr>
                <w:sz w:val="24"/>
                <w:szCs w:val="24"/>
              </w:rPr>
              <w:t xml:space="preserve">00 коп. </w:t>
            </w:r>
            <w:r w:rsidR="009623FD" w:rsidRPr="009623FD">
              <w:rPr>
                <w:bCs/>
                <w:iCs/>
                <w:sz w:val="24"/>
                <w:szCs w:val="24"/>
              </w:rPr>
              <w:t>(</w:t>
            </w:r>
            <w:r w:rsidR="009623FD" w:rsidRPr="009623FD">
              <w:rPr>
                <w:bCs/>
                <w:iCs/>
                <w:sz w:val="24"/>
                <w:szCs w:val="24"/>
                <w:lang w:val="en-US"/>
              </w:rPr>
              <w:t xml:space="preserve"> </w:t>
            </w:r>
            <w:r w:rsidR="009623FD" w:rsidRPr="009623FD">
              <w:rPr>
                <w:bCs/>
                <w:iCs/>
                <w:sz w:val="24"/>
                <w:szCs w:val="24"/>
              </w:rPr>
              <w:t xml:space="preserve"> п</w:t>
            </w:r>
            <w:r w:rsidR="009623FD" w:rsidRPr="009623FD">
              <w:rPr>
                <w:bCs/>
                <w:iCs/>
                <w:sz w:val="24"/>
                <w:szCs w:val="24"/>
                <w:lang w:val="en-US"/>
              </w:rPr>
              <w:t>’</w:t>
            </w:r>
            <w:r w:rsidR="009623FD" w:rsidRPr="009623FD">
              <w:rPr>
                <w:bCs/>
                <w:iCs/>
                <w:sz w:val="24"/>
                <w:szCs w:val="24"/>
              </w:rPr>
              <w:t>ят</w:t>
            </w:r>
            <w:r w:rsidR="0057416C">
              <w:rPr>
                <w:bCs/>
                <w:iCs/>
                <w:sz w:val="24"/>
                <w:szCs w:val="24"/>
              </w:rPr>
              <w:t xml:space="preserve">сот вісімдесят вісім </w:t>
            </w:r>
            <w:r w:rsidR="009623FD" w:rsidRPr="009623FD">
              <w:rPr>
                <w:bCs/>
                <w:iCs/>
                <w:sz w:val="24"/>
                <w:szCs w:val="24"/>
              </w:rPr>
              <w:t xml:space="preserve">тисяч </w:t>
            </w:r>
            <w:r w:rsidR="0057416C">
              <w:rPr>
                <w:bCs/>
                <w:iCs/>
                <w:sz w:val="24"/>
                <w:szCs w:val="24"/>
              </w:rPr>
              <w:t>сто вісімдесят вісім</w:t>
            </w:r>
            <w:r w:rsidR="009623FD" w:rsidRPr="009623FD">
              <w:rPr>
                <w:bCs/>
                <w:iCs/>
                <w:sz w:val="24"/>
                <w:szCs w:val="24"/>
              </w:rPr>
              <w:t xml:space="preserve">  грн. 00 коп</w:t>
            </w:r>
            <w:r w:rsidR="0057416C">
              <w:rPr>
                <w:bCs/>
                <w:iCs/>
                <w:sz w:val="24"/>
                <w:szCs w:val="24"/>
              </w:rPr>
              <w:t>.</w:t>
            </w:r>
            <w:r w:rsidR="009623FD" w:rsidRPr="009623FD">
              <w:rPr>
                <w:bCs/>
                <w:iCs/>
                <w:sz w:val="24"/>
                <w:szCs w:val="24"/>
              </w:rPr>
              <w:t xml:space="preserve">  )</w:t>
            </w:r>
          </w:p>
        </w:tc>
      </w:tr>
      <w:tr w:rsidR="001F0BAA" w:rsidRPr="001F0BAA" w14:paraId="5C4044D1" w14:textId="77777777" w:rsidTr="00CC5243">
        <w:trPr>
          <w:trHeight w:val="4401"/>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6843B8D"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03749E0" w14:textId="77777777" w:rsidR="001F0BAA" w:rsidRDefault="001F0BAA" w:rsidP="001F0BAA">
            <w:pPr>
              <w:spacing w:after="0" w:line="240" w:lineRule="auto"/>
              <w:jc w:val="center"/>
              <w:rPr>
                <w:rFonts w:ascii="Times New Roman" w:eastAsia="Times New Roman" w:hAnsi="Times New Roman" w:cs="Times New Roman"/>
                <w:b/>
                <w:bCs/>
                <w:i/>
                <w:iCs/>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p w14:paraId="5B4D8E48" w14:textId="77777777" w:rsidR="00483FFA" w:rsidRDefault="00483FFA" w:rsidP="00483FFA">
            <w:pPr>
              <w:rPr>
                <w:rFonts w:ascii="Times New Roman" w:eastAsia="Times New Roman" w:hAnsi="Times New Roman" w:cs="Times New Roman"/>
                <w:b/>
                <w:bCs/>
                <w:i/>
                <w:iCs/>
                <w:color w:val="333333"/>
                <w:sz w:val="24"/>
                <w:szCs w:val="24"/>
                <w:lang w:eastAsia="uk-UA"/>
              </w:rPr>
            </w:pPr>
          </w:p>
          <w:p w14:paraId="69ED5CDF" w14:textId="77777777" w:rsidR="00483FFA" w:rsidRPr="00483FFA" w:rsidRDefault="00483FFA" w:rsidP="00720737">
            <w:pPr>
              <w:rPr>
                <w:rFonts w:ascii="Times New Roman" w:eastAsia="Times New Roman" w:hAnsi="Times New Roman" w:cs="Times New Roman"/>
                <w:sz w:val="24"/>
                <w:szCs w:val="24"/>
                <w:lang w:eastAsia="uk-UA"/>
              </w:rPr>
            </w:pPr>
          </w:p>
        </w:tc>
        <w:tc>
          <w:tcPr>
            <w:tcW w:w="8052" w:type="dxa"/>
            <w:tcBorders>
              <w:top w:val="single" w:sz="6" w:space="0" w:color="C6C6C6"/>
              <w:left w:val="single" w:sz="6" w:space="0" w:color="C6C6C6"/>
              <w:bottom w:val="single" w:sz="6" w:space="0" w:color="C6C6C6"/>
              <w:right w:val="single" w:sz="6" w:space="0" w:color="C6C6C6"/>
            </w:tcBorders>
            <w:shd w:val="clear" w:color="auto" w:fill="auto"/>
            <w:tcMar>
              <w:top w:w="30" w:type="dxa"/>
              <w:left w:w="30" w:type="dxa"/>
              <w:bottom w:w="30" w:type="dxa"/>
              <w:right w:w="30" w:type="dxa"/>
            </w:tcMar>
          </w:tcPr>
          <w:p w14:paraId="4EE0A32E" w14:textId="47581988" w:rsidR="008D6726" w:rsidRDefault="008D6726" w:rsidP="008D6726">
            <w:pPr>
              <w:pStyle w:val="text-secondary"/>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bdr w:val="single" w:sz="2" w:space="0" w:color="E5E7EB" w:frame="1"/>
              </w:rPr>
            </w:pPr>
            <w:r>
              <w:t xml:space="preserve">Метою закупівлі є забезпечення антивірусним захистом серверного обладнання, поштових серверів, автоматизованих робочих місць користувачів корпоративної мережі системи інформаційно-аналітичного забезпечення  ВМР  відповідно до вимог комплексної системи захисту інформації. </w:t>
            </w:r>
          </w:p>
          <w:p w14:paraId="101D59A6" w14:textId="4FFF184D" w:rsidR="0057416C" w:rsidRPr="008D6726" w:rsidRDefault="008D6726" w:rsidP="008D6726">
            <w:pPr>
              <w:spacing w:after="0" w:line="240" w:lineRule="auto"/>
              <w:jc w:val="both"/>
              <w:rPr>
                <w:rFonts w:ascii="Times New Roman" w:hAnsi="Times New Roman" w:cs="Times New Roman"/>
                <w:sz w:val="24"/>
                <w:szCs w:val="24"/>
              </w:rPr>
            </w:pPr>
            <w:r w:rsidRPr="008D6726">
              <w:rPr>
                <w:rFonts w:ascii="Times New Roman" w:hAnsi="Times New Roman" w:cs="Times New Roman"/>
                <w:sz w:val="24"/>
                <w:szCs w:val="24"/>
              </w:rPr>
              <w:t xml:space="preserve">Відповідно до вимог комплексної системи захисту інформації необхідно проводити заходи щодо захисту автоматизованих робочих місць від проявів шкідливих програмних засобів, забезпечення технічних умов для безперебійного функціонування комп’ютерного обладнання та захисту інформації на них. </w:t>
            </w:r>
            <w:r w:rsidR="00CC5243" w:rsidRPr="00CC5243">
              <w:rPr>
                <w:rFonts w:ascii="Times New Roman" w:hAnsi="Times New Roman" w:cs="Times New Roman"/>
                <w:sz w:val="24"/>
                <w:szCs w:val="24"/>
              </w:rPr>
              <w:t>Придбання антивіруса, антиспама та засобів двофакторної аутентифікації є необхідним кроком для забезпечення комплексного захисту інформаційної системи, оскільки дозволяє ефективно протидіяти шкідливому програмному забезпеченню, фільтрувати небажану електронну пошту та запобігати несанкціонованому доступу до конфіденційних даних</w:t>
            </w:r>
            <w:r w:rsidR="00CC5243">
              <w:rPr>
                <w:rFonts w:ascii="Times New Roman" w:hAnsi="Times New Roman" w:cs="Times New Roman"/>
                <w:sz w:val="24"/>
                <w:szCs w:val="24"/>
              </w:rPr>
              <w:t>.</w:t>
            </w:r>
          </w:p>
          <w:p w14:paraId="4EFF40F5" w14:textId="77777777" w:rsidR="00805ED1" w:rsidRDefault="00DA15B7" w:rsidP="00CC52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w:t>
            </w:r>
            <w:r w:rsidR="00874B67" w:rsidRPr="00482D62">
              <w:rPr>
                <w:rFonts w:ascii="Times New Roman" w:hAnsi="Times New Roman" w:cs="Times New Roman"/>
                <w:sz w:val="24"/>
                <w:szCs w:val="24"/>
              </w:rPr>
              <w:t>ехнічні та якісні характеристики предмета закупівлі зазначені в Додатку 4 до тендерної документації</w:t>
            </w:r>
            <w:r w:rsidR="00804ADE" w:rsidRPr="00482D62">
              <w:rPr>
                <w:rFonts w:ascii="Times New Roman" w:hAnsi="Times New Roman" w:cs="Times New Roman"/>
                <w:sz w:val="24"/>
                <w:szCs w:val="24"/>
              </w:rPr>
              <w:t>.</w:t>
            </w:r>
          </w:p>
          <w:tbl>
            <w:tblPr>
              <w:tblStyle w:val="ac"/>
              <w:tblW w:w="10065" w:type="dxa"/>
              <w:tblInd w:w="0" w:type="dxa"/>
              <w:tblLook w:val="04A0" w:firstRow="1" w:lastRow="0" w:firstColumn="1" w:lastColumn="0" w:noHBand="0" w:noVBand="1"/>
            </w:tblPr>
            <w:tblGrid>
              <w:gridCol w:w="4395"/>
              <w:gridCol w:w="2835"/>
              <w:gridCol w:w="2835"/>
            </w:tblGrid>
            <w:tr w:rsidR="001673CE" w14:paraId="7F1AA3A4" w14:textId="77777777" w:rsidTr="001673CE">
              <w:tc>
                <w:tcPr>
                  <w:tcW w:w="7230" w:type="dxa"/>
                  <w:gridSpan w:val="2"/>
                  <w:tcBorders>
                    <w:top w:val="single" w:sz="4" w:space="0" w:color="auto"/>
                    <w:left w:val="single" w:sz="4" w:space="0" w:color="auto"/>
                    <w:bottom w:val="single" w:sz="4" w:space="0" w:color="auto"/>
                    <w:right w:val="single" w:sz="4" w:space="0" w:color="auto"/>
                  </w:tcBorders>
                  <w:hideMark/>
                </w:tcPr>
                <w:p w14:paraId="1A831198" w14:textId="77777777" w:rsidR="001673CE" w:rsidRPr="001673CE" w:rsidRDefault="001673CE" w:rsidP="001673CE">
                  <w:pPr>
                    <w:pStyle w:val="aa"/>
                    <w:numPr>
                      <w:ilvl w:val="0"/>
                      <w:numId w:val="5"/>
                    </w:numPr>
                    <w:ind w:left="313" w:firstLine="0"/>
                    <w:rPr>
                      <w:rFonts w:ascii="Times New Roman" w:hAnsi="Times New Roman"/>
                      <w:b/>
                      <w:bCs/>
                      <w:color w:val="000000"/>
                      <w:sz w:val="24"/>
                      <w:szCs w:val="24"/>
                      <w:lang w:val="ru-RU"/>
                    </w:rPr>
                  </w:pPr>
                  <w:r w:rsidRPr="001673CE">
                    <w:rPr>
                      <w:rFonts w:ascii="Times New Roman" w:hAnsi="Times New Roman"/>
                      <w:b/>
                      <w:bCs/>
                      <w:sz w:val="24"/>
                      <w:szCs w:val="24"/>
                      <w:lang w:val="ru-RU"/>
                    </w:rPr>
                    <w:t>Антиспам</w:t>
                  </w:r>
                </w:p>
              </w:tc>
              <w:tc>
                <w:tcPr>
                  <w:tcW w:w="2835" w:type="dxa"/>
                  <w:tcBorders>
                    <w:top w:val="single" w:sz="4" w:space="0" w:color="auto"/>
                    <w:left w:val="single" w:sz="4" w:space="0" w:color="auto"/>
                    <w:bottom w:val="single" w:sz="4" w:space="0" w:color="auto"/>
                    <w:right w:val="single" w:sz="4" w:space="0" w:color="auto"/>
                  </w:tcBorders>
                  <w:hideMark/>
                </w:tcPr>
                <w:p w14:paraId="3146AAFE" w14:textId="19909CDB" w:rsidR="001673CE" w:rsidRDefault="001673CE" w:rsidP="001673CE">
                  <w:pPr>
                    <w:rPr>
                      <w:rFonts w:ascii="Times New Roman" w:hAnsi="Times New Roman" w:cs="Times New Roman"/>
                      <w:b/>
                      <w:bCs/>
                      <w:color w:val="000000"/>
                      <w:sz w:val="24"/>
                      <w:szCs w:val="24"/>
                      <w:lang w:val="uk-UA"/>
                    </w:rPr>
                  </w:pPr>
                </w:p>
              </w:tc>
            </w:tr>
            <w:tr w:rsidR="001673CE" w14:paraId="7AD14CEF" w14:textId="77777777" w:rsidTr="001673CE">
              <w:trPr>
                <w:trHeight w:val="659"/>
              </w:trPr>
              <w:tc>
                <w:tcPr>
                  <w:tcW w:w="4395" w:type="dxa"/>
                  <w:tcBorders>
                    <w:top w:val="single" w:sz="4" w:space="0" w:color="auto"/>
                    <w:left w:val="single" w:sz="4" w:space="0" w:color="auto"/>
                    <w:bottom w:val="single" w:sz="4" w:space="0" w:color="auto"/>
                    <w:right w:val="single" w:sz="4" w:space="0" w:color="auto"/>
                  </w:tcBorders>
                  <w:hideMark/>
                </w:tcPr>
                <w:p w14:paraId="6B63B91F" w14:textId="77777777" w:rsidR="001673CE" w:rsidRDefault="001673CE" w:rsidP="001673CE">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Сумісність: </w:t>
                  </w:r>
                </w:p>
              </w:tc>
              <w:tc>
                <w:tcPr>
                  <w:tcW w:w="5670" w:type="dxa"/>
                  <w:gridSpan w:val="2"/>
                  <w:tcBorders>
                    <w:top w:val="single" w:sz="4" w:space="0" w:color="auto"/>
                    <w:left w:val="single" w:sz="4" w:space="0" w:color="auto"/>
                    <w:bottom w:val="single" w:sz="4" w:space="0" w:color="auto"/>
                    <w:right w:val="single" w:sz="4" w:space="0" w:color="auto"/>
                  </w:tcBorders>
                  <w:hideMark/>
                </w:tcPr>
                <w:p w14:paraId="6BC1D691"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Microsoft Exchange /2019/2022</w:t>
                  </w:r>
                </w:p>
                <w:p w14:paraId="06515FB5"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Linux mail-сервери (Sendmail)</w:t>
                  </w:r>
                </w:p>
              </w:tc>
            </w:tr>
            <w:tr w:rsidR="001673CE" w14:paraId="66F2993B" w14:textId="77777777" w:rsidTr="001673CE">
              <w:tc>
                <w:tcPr>
                  <w:tcW w:w="4395" w:type="dxa"/>
                  <w:tcBorders>
                    <w:top w:val="single" w:sz="4" w:space="0" w:color="auto"/>
                    <w:left w:val="single" w:sz="4" w:space="0" w:color="auto"/>
                    <w:bottom w:val="single" w:sz="4" w:space="0" w:color="auto"/>
                    <w:right w:val="single" w:sz="4" w:space="0" w:color="auto"/>
                  </w:tcBorders>
                  <w:hideMark/>
                </w:tcPr>
                <w:p w14:paraId="4A817724" w14:textId="77777777" w:rsidR="001673CE" w:rsidRDefault="001673CE" w:rsidP="001673CE">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Функціональність:</w:t>
                  </w:r>
                </w:p>
              </w:tc>
              <w:tc>
                <w:tcPr>
                  <w:tcW w:w="5670" w:type="dxa"/>
                  <w:gridSpan w:val="2"/>
                  <w:tcBorders>
                    <w:top w:val="single" w:sz="4" w:space="0" w:color="auto"/>
                    <w:left w:val="single" w:sz="4" w:space="0" w:color="auto"/>
                    <w:bottom w:val="single" w:sz="4" w:space="0" w:color="auto"/>
                    <w:right w:val="single" w:sz="4" w:space="0" w:color="auto"/>
                  </w:tcBorders>
                  <w:hideMark/>
                </w:tcPr>
                <w:p w14:paraId="63C485E7"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Захист поштових серверів від:</w:t>
                  </w:r>
                </w:p>
                <w:p w14:paraId="0551E95B"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Вірусів</w:t>
                  </w:r>
                </w:p>
                <w:p w14:paraId="3271F3E5"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Шпигунських програм</w:t>
                  </w:r>
                </w:p>
                <w:p w14:paraId="58A655A2"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Спаму</w:t>
                  </w:r>
                </w:p>
                <w:p w14:paraId="002FFF99"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lastRenderedPageBreak/>
                    <w:t>Фішингових атак</w:t>
                  </w:r>
                </w:p>
                <w:p w14:paraId="4C6D3898"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Шкідливих вкладень</w:t>
                  </w:r>
                </w:p>
                <w:p w14:paraId="1520F8EA"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Антивірусна перевірка SMTP/POP3/IMAP</w:t>
                  </w:r>
                </w:p>
                <w:p w14:paraId="2CF9D4C4"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Антиспам фільтрація з машинним навчанням</w:t>
                  </w:r>
                </w:p>
                <w:p w14:paraId="0764400B"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Глибокий аналіз вкладень (у т.ч. архівів)</w:t>
                  </w:r>
                </w:p>
                <w:p w14:paraId="2BF99B7F"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Правила перевірки контенту</w:t>
                  </w:r>
                </w:p>
                <w:p w14:paraId="21CF2524"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Звітність, логування та керування карантином</w:t>
                  </w:r>
                </w:p>
                <w:p w14:paraId="22D08CEE"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Інтеграція з Microsoft Exchange:</w:t>
                  </w:r>
                </w:p>
                <w:p w14:paraId="35BB3870"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Transport Agent</w:t>
                  </w:r>
                </w:p>
                <w:p w14:paraId="6A710072"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Mailbox Agent</w:t>
                  </w:r>
                </w:p>
                <w:p w14:paraId="0C2AF480"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Можливість підтримки Microsoft 365 через проксі-рішення</w:t>
                  </w:r>
                </w:p>
              </w:tc>
            </w:tr>
            <w:tr w:rsidR="001673CE" w14:paraId="463FAD98" w14:textId="77777777" w:rsidTr="001673CE">
              <w:tc>
                <w:tcPr>
                  <w:tcW w:w="7230" w:type="dxa"/>
                  <w:gridSpan w:val="2"/>
                  <w:tcBorders>
                    <w:top w:val="single" w:sz="4" w:space="0" w:color="auto"/>
                    <w:left w:val="single" w:sz="4" w:space="0" w:color="auto"/>
                    <w:bottom w:val="single" w:sz="4" w:space="0" w:color="auto"/>
                    <w:right w:val="single" w:sz="4" w:space="0" w:color="auto"/>
                  </w:tcBorders>
                  <w:hideMark/>
                </w:tcPr>
                <w:p w14:paraId="03ED5842" w14:textId="77777777" w:rsidR="001673CE" w:rsidRPr="001673CE" w:rsidRDefault="001673CE" w:rsidP="001673CE">
                  <w:pPr>
                    <w:pStyle w:val="aa"/>
                    <w:numPr>
                      <w:ilvl w:val="0"/>
                      <w:numId w:val="5"/>
                    </w:numPr>
                    <w:ind w:left="313" w:firstLine="0"/>
                    <w:rPr>
                      <w:rFonts w:ascii="Times New Roman" w:hAnsi="Times New Roman"/>
                      <w:b/>
                      <w:bCs/>
                      <w:color w:val="000000"/>
                      <w:sz w:val="24"/>
                      <w:szCs w:val="24"/>
                      <w:lang w:val="ru-RU" w:eastAsia="en-US"/>
                    </w:rPr>
                  </w:pPr>
                  <w:r w:rsidRPr="001673CE">
                    <w:rPr>
                      <w:rFonts w:ascii="Times New Roman" w:hAnsi="Times New Roman"/>
                      <w:b/>
                      <w:bCs/>
                      <w:color w:val="000000"/>
                      <w:sz w:val="24"/>
                      <w:szCs w:val="24"/>
                      <w:lang w:val="ru-RU" w:eastAsia="en-US"/>
                    </w:rPr>
                    <w:lastRenderedPageBreak/>
                    <w:t>Антивірус</w:t>
                  </w:r>
                </w:p>
              </w:tc>
              <w:tc>
                <w:tcPr>
                  <w:tcW w:w="2835" w:type="dxa"/>
                  <w:tcBorders>
                    <w:top w:val="single" w:sz="4" w:space="0" w:color="auto"/>
                    <w:left w:val="single" w:sz="4" w:space="0" w:color="auto"/>
                    <w:bottom w:val="single" w:sz="4" w:space="0" w:color="auto"/>
                    <w:right w:val="single" w:sz="4" w:space="0" w:color="auto"/>
                  </w:tcBorders>
                  <w:hideMark/>
                </w:tcPr>
                <w:p w14:paraId="435F9E10" w14:textId="6F043433" w:rsidR="001673CE" w:rsidRDefault="001673CE" w:rsidP="001673CE">
                  <w:pPr>
                    <w:rPr>
                      <w:rFonts w:ascii="Times New Roman" w:eastAsia="Times New Roman" w:hAnsi="Times New Roman" w:cs="Times New Roman"/>
                      <w:b/>
                      <w:bCs/>
                      <w:color w:val="000000"/>
                      <w:sz w:val="24"/>
                      <w:szCs w:val="24"/>
                      <w:lang w:val="uk-UA"/>
                    </w:rPr>
                  </w:pPr>
                </w:p>
              </w:tc>
            </w:tr>
            <w:tr w:rsidR="001673CE" w14:paraId="7EDAC067" w14:textId="77777777" w:rsidTr="001673CE">
              <w:tc>
                <w:tcPr>
                  <w:tcW w:w="10065" w:type="dxa"/>
                  <w:gridSpan w:val="3"/>
                  <w:tcBorders>
                    <w:top w:val="single" w:sz="4" w:space="0" w:color="auto"/>
                    <w:left w:val="single" w:sz="4" w:space="0" w:color="auto"/>
                    <w:bottom w:val="single" w:sz="4" w:space="0" w:color="auto"/>
                    <w:right w:val="single" w:sz="4" w:space="0" w:color="auto"/>
                  </w:tcBorders>
                  <w:hideMark/>
                </w:tcPr>
                <w:p w14:paraId="13F37BA2" w14:textId="77777777" w:rsidR="001673CE" w:rsidRDefault="001673CE" w:rsidP="001673CE">
                  <w:pPr>
                    <w:jc w:val="center"/>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Загальні технічні характеристики</w:t>
                  </w:r>
                </w:p>
              </w:tc>
            </w:tr>
            <w:tr w:rsidR="001673CE" w14:paraId="6EDD875B" w14:textId="77777777" w:rsidTr="001673CE">
              <w:tc>
                <w:tcPr>
                  <w:tcW w:w="4395" w:type="dxa"/>
                  <w:tcBorders>
                    <w:top w:val="single" w:sz="4" w:space="0" w:color="auto"/>
                    <w:left w:val="single" w:sz="4" w:space="0" w:color="auto"/>
                    <w:bottom w:val="single" w:sz="4" w:space="0" w:color="auto"/>
                    <w:right w:val="single" w:sz="4" w:space="0" w:color="auto"/>
                  </w:tcBorders>
                  <w:hideMark/>
                </w:tcPr>
                <w:p w14:paraId="2914255B" w14:textId="77777777" w:rsidR="001673CE" w:rsidRDefault="001673CE" w:rsidP="001673CE">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Сумісність:</w:t>
                  </w:r>
                </w:p>
              </w:tc>
              <w:tc>
                <w:tcPr>
                  <w:tcW w:w="5670" w:type="dxa"/>
                  <w:gridSpan w:val="2"/>
                  <w:tcBorders>
                    <w:top w:val="single" w:sz="4" w:space="0" w:color="auto"/>
                    <w:left w:val="single" w:sz="4" w:space="0" w:color="auto"/>
                    <w:bottom w:val="single" w:sz="4" w:space="0" w:color="auto"/>
                    <w:right w:val="single" w:sz="4" w:space="0" w:color="auto"/>
                  </w:tcBorders>
                  <w:hideMark/>
                </w:tcPr>
                <w:p w14:paraId="04E9EA4E"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Windows 11 / 10 / 8.1 / 7 SP1</w:t>
                  </w:r>
                </w:p>
                <w:p w14:paraId="1CCE6870"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macOS (актуальні версії)</w:t>
                  </w:r>
                </w:p>
                <w:p w14:paraId="358949B5"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Linux (Ubuntu)</w:t>
                  </w:r>
                </w:p>
              </w:tc>
            </w:tr>
            <w:tr w:rsidR="001673CE" w14:paraId="7FCDC0AE" w14:textId="77777777" w:rsidTr="001673CE">
              <w:tc>
                <w:tcPr>
                  <w:tcW w:w="4395" w:type="dxa"/>
                  <w:tcBorders>
                    <w:top w:val="single" w:sz="4" w:space="0" w:color="auto"/>
                    <w:left w:val="single" w:sz="4" w:space="0" w:color="auto"/>
                    <w:bottom w:val="single" w:sz="4" w:space="0" w:color="auto"/>
                    <w:right w:val="single" w:sz="4" w:space="0" w:color="auto"/>
                  </w:tcBorders>
                  <w:hideMark/>
                </w:tcPr>
                <w:p w14:paraId="439EAFC2" w14:textId="77777777" w:rsidR="001673CE" w:rsidRDefault="001673CE" w:rsidP="001673CE">
                  <w:pP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Функціональність:</w:t>
                  </w:r>
                </w:p>
              </w:tc>
              <w:tc>
                <w:tcPr>
                  <w:tcW w:w="5670" w:type="dxa"/>
                  <w:gridSpan w:val="2"/>
                  <w:tcBorders>
                    <w:top w:val="single" w:sz="4" w:space="0" w:color="auto"/>
                    <w:left w:val="single" w:sz="4" w:space="0" w:color="auto"/>
                    <w:bottom w:val="single" w:sz="4" w:space="0" w:color="auto"/>
                    <w:right w:val="single" w:sz="4" w:space="0" w:color="auto"/>
                  </w:tcBorders>
                  <w:hideMark/>
                </w:tcPr>
                <w:p w14:paraId="39C98F80"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Захист робочих станцій (Windows, macOS, Linux)</w:t>
                  </w:r>
                </w:p>
                <w:p w14:paraId="0492FC2B"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Антивірусна перевірка в реальному часі</w:t>
                  </w:r>
                </w:p>
                <w:p w14:paraId="15E0A8DC"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Антишпигунське ПЗ</w:t>
                  </w:r>
                </w:p>
                <w:p w14:paraId="66BAABFA"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Захист файлової системи</w:t>
                  </w:r>
                </w:p>
                <w:p w14:paraId="22648E88"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Захист поштового трафіку</w:t>
                  </w:r>
                </w:p>
                <w:p w14:paraId="06BCC2CA"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Контроль знімних носіїв (USB, зовнішні диски)</w:t>
                  </w:r>
                </w:p>
                <w:p w14:paraId="12896886"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Веб-контроль для обмеження доступу до небажаних сайтів</w:t>
                  </w:r>
                </w:p>
                <w:p w14:paraId="3C7B8571"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Двосторонній фаєрвол</w:t>
                  </w:r>
                </w:p>
                <w:p w14:paraId="69BB12B2"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Захист від фішингу</w:t>
                  </w:r>
                </w:p>
                <w:p w14:paraId="48C91DEA"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Захист від атак з локальної мережі</w:t>
                  </w:r>
                </w:p>
                <w:p w14:paraId="668D7F62"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Централізоване управління пристроями через консоль </w:t>
                  </w:r>
                </w:p>
                <w:p w14:paraId="5D5CC996"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Хмарна або локальна консоль управління</w:t>
                  </w:r>
                </w:p>
                <w:p w14:paraId="4BAE6A6A"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Підтримка Active Directory</w:t>
                  </w:r>
                </w:p>
                <w:p w14:paraId="7D354610"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Звітування про інциденти безпеки</w:t>
                  </w:r>
                </w:p>
              </w:tc>
            </w:tr>
            <w:tr w:rsidR="001673CE" w14:paraId="2D81F521" w14:textId="77777777" w:rsidTr="001673CE">
              <w:tc>
                <w:tcPr>
                  <w:tcW w:w="4395" w:type="dxa"/>
                  <w:tcBorders>
                    <w:top w:val="single" w:sz="4" w:space="0" w:color="auto"/>
                    <w:left w:val="single" w:sz="4" w:space="0" w:color="auto"/>
                    <w:bottom w:val="single" w:sz="4" w:space="0" w:color="auto"/>
                    <w:right w:val="single" w:sz="4" w:space="0" w:color="auto"/>
                  </w:tcBorders>
                  <w:hideMark/>
                </w:tcPr>
                <w:p w14:paraId="1365D092" w14:textId="77777777" w:rsidR="001673CE" w:rsidRDefault="001673CE" w:rsidP="001673CE">
                  <w:pP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Термін дії ліцензії, років           </w:t>
                  </w:r>
                </w:p>
              </w:tc>
              <w:tc>
                <w:tcPr>
                  <w:tcW w:w="5670" w:type="dxa"/>
                  <w:gridSpan w:val="2"/>
                  <w:tcBorders>
                    <w:top w:val="single" w:sz="4" w:space="0" w:color="auto"/>
                    <w:left w:val="single" w:sz="4" w:space="0" w:color="auto"/>
                    <w:bottom w:val="single" w:sz="4" w:space="0" w:color="auto"/>
                    <w:right w:val="single" w:sz="4" w:space="0" w:color="auto"/>
                  </w:tcBorders>
                  <w:hideMark/>
                </w:tcPr>
                <w:p w14:paraId="43FF202B" w14:textId="77777777" w:rsidR="001673CE" w:rsidRDefault="001673CE" w:rsidP="001673CE">
                  <w:pPr>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Не менше 2</w:t>
                  </w:r>
                </w:p>
              </w:tc>
            </w:tr>
            <w:tr w:rsidR="001673CE" w14:paraId="0831E66C" w14:textId="77777777" w:rsidTr="001673CE">
              <w:tc>
                <w:tcPr>
                  <w:tcW w:w="10065" w:type="dxa"/>
                  <w:gridSpan w:val="3"/>
                  <w:tcBorders>
                    <w:top w:val="single" w:sz="4" w:space="0" w:color="auto"/>
                    <w:left w:val="single" w:sz="4" w:space="0" w:color="auto"/>
                    <w:bottom w:val="single" w:sz="4" w:space="0" w:color="auto"/>
                    <w:right w:val="single" w:sz="4" w:space="0" w:color="auto"/>
                  </w:tcBorders>
                </w:tcPr>
                <w:p w14:paraId="6DA5AEDB" w14:textId="77777777" w:rsidR="001673CE" w:rsidRDefault="001673CE" w:rsidP="001673CE">
                  <w:pPr>
                    <w:rPr>
                      <w:rFonts w:ascii="Times New Roman" w:eastAsia="Times New Roman" w:hAnsi="Times New Roman" w:cs="Times New Roman"/>
                      <w:bCs/>
                      <w:color w:val="000000"/>
                      <w:sz w:val="24"/>
                      <w:szCs w:val="24"/>
                      <w:lang w:val="uk-UA"/>
                    </w:rPr>
                  </w:pPr>
                </w:p>
              </w:tc>
            </w:tr>
            <w:tr w:rsidR="001673CE" w14:paraId="3FD6241C" w14:textId="77777777" w:rsidTr="001673CE">
              <w:tc>
                <w:tcPr>
                  <w:tcW w:w="7230" w:type="dxa"/>
                  <w:gridSpan w:val="2"/>
                  <w:tcBorders>
                    <w:top w:val="single" w:sz="4" w:space="0" w:color="auto"/>
                    <w:left w:val="single" w:sz="4" w:space="0" w:color="auto"/>
                    <w:bottom w:val="single" w:sz="4" w:space="0" w:color="auto"/>
                    <w:right w:val="single" w:sz="4" w:space="0" w:color="auto"/>
                  </w:tcBorders>
                  <w:hideMark/>
                </w:tcPr>
                <w:p w14:paraId="7D616F35" w14:textId="77777777" w:rsidR="001673CE" w:rsidRPr="001673CE" w:rsidRDefault="001673CE" w:rsidP="001673CE">
                  <w:pPr>
                    <w:pStyle w:val="aa"/>
                    <w:numPr>
                      <w:ilvl w:val="0"/>
                      <w:numId w:val="5"/>
                    </w:numPr>
                    <w:ind w:left="313" w:firstLine="0"/>
                    <w:rPr>
                      <w:rFonts w:ascii="Times New Roman" w:hAnsi="Times New Roman"/>
                      <w:bCs/>
                      <w:color w:val="000000"/>
                      <w:sz w:val="24"/>
                      <w:szCs w:val="24"/>
                      <w:lang w:val="ru-RU" w:eastAsia="en-US"/>
                    </w:rPr>
                  </w:pPr>
                  <w:r w:rsidRPr="001673CE">
                    <w:rPr>
                      <w:rFonts w:ascii="Times New Roman" w:hAnsi="Times New Roman"/>
                      <w:bCs/>
                      <w:color w:val="000000"/>
                      <w:sz w:val="24"/>
                      <w:szCs w:val="24"/>
                      <w:lang w:val="ru-RU" w:eastAsia="en-US"/>
                    </w:rPr>
                    <w:t xml:space="preserve">Багаторівнева аутентифікація </w:t>
                  </w:r>
                </w:p>
              </w:tc>
              <w:tc>
                <w:tcPr>
                  <w:tcW w:w="2835" w:type="dxa"/>
                  <w:tcBorders>
                    <w:top w:val="single" w:sz="4" w:space="0" w:color="auto"/>
                    <w:left w:val="single" w:sz="4" w:space="0" w:color="auto"/>
                    <w:bottom w:val="single" w:sz="4" w:space="0" w:color="auto"/>
                    <w:right w:val="single" w:sz="4" w:space="0" w:color="auto"/>
                  </w:tcBorders>
                  <w:hideMark/>
                </w:tcPr>
                <w:p w14:paraId="1DF44A61" w14:textId="6C735C55" w:rsidR="001673CE" w:rsidRDefault="001673CE" w:rsidP="001673CE">
                  <w:pPr>
                    <w:rPr>
                      <w:rFonts w:ascii="Times New Roman" w:eastAsia="Times New Roman" w:hAnsi="Times New Roman" w:cs="Times New Roman"/>
                      <w:bCs/>
                      <w:color w:val="000000"/>
                      <w:sz w:val="24"/>
                      <w:szCs w:val="24"/>
                      <w:lang w:val="uk-UA"/>
                    </w:rPr>
                  </w:pPr>
                </w:p>
              </w:tc>
            </w:tr>
            <w:tr w:rsidR="001673CE" w14:paraId="0AF68DB0" w14:textId="77777777" w:rsidTr="001673CE">
              <w:tc>
                <w:tcPr>
                  <w:tcW w:w="10065" w:type="dxa"/>
                  <w:gridSpan w:val="3"/>
                  <w:tcBorders>
                    <w:top w:val="single" w:sz="4" w:space="0" w:color="auto"/>
                    <w:left w:val="single" w:sz="4" w:space="0" w:color="auto"/>
                    <w:bottom w:val="single" w:sz="4" w:space="0" w:color="auto"/>
                    <w:right w:val="single" w:sz="4" w:space="0" w:color="auto"/>
                  </w:tcBorders>
                  <w:hideMark/>
                </w:tcPr>
                <w:p w14:paraId="15341AD8" w14:textId="77777777" w:rsidR="001673CE" w:rsidRDefault="001673CE" w:rsidP="001673CE">
                  <w:pPr>
                    <w:jc w:val="center"/>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Загальні технічні характеристики</w:t>
                  </w:r>
                </w:p>
              </w:tc>
            </w:tr>
            <w:tr w:rsidR="001673CE" w14:paraId="4799C33D" w14:textId="77777777" w:rsidTr="001673CE">
              <w:tc>
                <w:tcPr>
                  <w:tcW w:w="4395" w:type="dxa"/>
                  <w:tcBorders>
                    <w:top w:val="single" w:sz="4" w:space="0" w:color="auto"/>
                    <w:left w:val="single" w:sz="4" w:space="0" w:color="auto"/>
                    <w:bottom w:val="single" w:sz="4" w:space="0" w:color="auto"/>
                    <w:right w:val="single" w:sz="4" w:space="0" w:color="auto"/>
                  </w:tcBorders>
                  <w:hideMark/>
                </w:tcPr>
                <w:p w14:paraId="2FA65BC6" w14:textId="77777777" w:rsidR="001673CE" w:rsidRDefault="001673CE" w:rsidP="001673CE">
                  <w:pP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Сумісність:</w:t>
                  </w:r>
                </w:p>
              </w:tc>
              <w:tc>
                <w:tcPr>
                  <w:tcW w:w="5670" w:type="dxa"/>
                  <w:gridSpan w:val="2"/>
                  <w:tcBorders>
                    <w:top w:val="single" w:sz="4" w:space="0" w:color="auto"/>
                    <w:left w:val="single" w:sz="4" w:space="0" w:color="auto"/>
                    <w:bottom w:val="single" w:sz="4" w:space="0" w:color="auto"/>
                    <w:right w:val="single" w:sz="4" w:space="0" w:color="auto"/>
                  </w:tcBorders>
                  <w:hideMark/>
                </w:tcPr>
                <w:p w14:paraId="1C1B95AC"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Windows Server 2012/2016/2019/2022</w:t>
                  </w:r>
                </w:p>
                <w:p w14:paraId="694999AF"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Сумісність з Microsoft Exchange / Office 365</w:t>
                  </w:r>
                </w:p>
              </w:tc>
            </w:tr>
            <w:tr w:rsidR="001673CE" w14:paraId="6835DFF6" w14:textId="77777777" w:rsidTr="001673CE">
              <w:trPr>
                <w:trHeight w:val="3895"/>
              </w:trPr>
              <w:tc>
                <w:tcPr>
                  <w:tcW w:w="4395" w:type="dxa"/>
                  <w:tcBorders>
                    <w:top w:val="single" w:sz="4" w:space="0" w:color="auto"/>
                    <w:left w:val="single" w:sz="4" w:space="0" w:color="auto"/>
                    <w:bottom w:val="single" w:sz="4" w:space="0" w:color="auto"/>
                    <w:right w:val="single" w:sz="4" w:space="0" w:color="auto"/>
                  </w:tcBorders>
                  <w:hideMark/>
                </w:tcPr>
                <w:p w14:paraId="70E3CDE1" w14:textId="77777777" w:rsidR="001673CE" w:rsidRDefault="001673CE" w:rsidP="001673CE">
                  <w:pPr>
                    <w:rPr>
                      <w:rFonts w:ascii="Times New Roman" w:hAnsi="Times New Roman" w:cs="Times New Roman"/>
                      <w:b/>
                      <w:bCs/>
                      <w:color w:val="000000"/>
                      <w:sz w:val="24"/>
                      <w:szCs w:val="24"/>
                      <w:lang w:val="uk-UA"/>
                    </w:rPr>
                  </w:pPr>
                  <w:r>
                    <w:rPr>
                      <w:rFonts w:ascii="Times New Roman" w:hAnsi="Times New Roman" w:cs="Times New Roman"/>
                      <w:bCs/>
                      <w:color w:val="000000"/>
                      <w:sz w:val="24"/>
                      <w:szCs w:val="24"/>
                      <w:lang w:val="uk-UA"/>
                    </w:rPr>
                    <w:t>Функціональність:</w:t>
                  </w:r>
                </w:p>
              </w:tc>
              <w:tc>
                <w:tcPr>
                  <w:tcW w:w="5670" w:type="dxa"/>
                  <w:gridSpan w:val="2"/>
                  <w:tcBorders>
                    <w:top w:val="single" w:sz="4" w:space="0" w:color="auto"/>
                    <w:left w:val="single" w:sz="4" w:space="0" w:color="auto"/>
                    <w:bottom w:val="single" w:sz="4" w:space="0" w:color="auto"/>
                    <w:right w:val="single" w:sz="4" w:space="0" w:color="auto"/>
                  </w:tcBorders>
                  <w:hideMark/>
                </w:tcPr>
                <w:p w14:paraId="6E5E1EF5"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Двофакторна аутентифікація (2FA)</w:t>
                  </w:r>
                </w:p>
                <w:p w14:paraId="2BD67E56"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Підтримка:</w:t>
                  </w:r>
                </w:p>
                <w:p w14:paraId="5EB98148"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VPN (Cisco, Juniper, SonicWall, Fortinet, ін.)</w:t>
                  </w:r>
                </w:p>
                <w:p w14:paraId="0DA19168"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RDP (Remote Desktop Protocol)</w:t>
                  </w:r>
                </w:p>
                <w:p w14:paraId="0A540BFD"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Outlook Web Access (OWA)</w:t>
                  </w:r>
                </w:p>
                <w:p w14:paraId="555CAE25"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Microsoft ADFS</w:t>
                  </w:r>
                </w:p>
                <w:p w14:paraId="5F9194FC"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Windows Logon</w:t>
                  </w:r>
                </w:p>
                <w:p w14:paraId="6F0D75B0"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OTP через мобільний застосунок (Android, iOS)</w:t>
                  </w:r>
                </w:p>
                <w:p w14:paraId="7268E196"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Можливість резервного коду</w:t>
                  </w:r>
                </w:p>
                <w:p w14:paraId="3CA3330D"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Можливість інтеграції через API</w:t>
                  </w:r>
                </w:p>
                <w:p w14:paraId="5BEA416D"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Централізоване управління та звітування</w:t>
                  </w:r>
                </w:p>
                <w:p w14:paraId="44DCEC48"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Підтримка Active Directory</w:t>
                  </w:r>
                </w:p>
                <w:p w14:paraId="6A615F65"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Автоматична синхронізація з AD</w:t>
                  </w:r>
                </w:p>
                <w:p w14:paraId="34958C58" w14:textId="77777777" w:rsidR="001673CE" w:rsidRDefault="001673CE" w:rsidP="001673CE">
                  <w:pPr>
                    <w:ind w:left="3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Мінімальний вплив на продуктивність</w:t>
                  </w:r>
                </w:p>
              </w:tc>
            </w:tr>
          </w:tbl>
          <w:p w14:paraId="4965AA3A" w14:textId="01A98006" w:rsidR="001673CE" w:rsidRPr="00482D62" w:rsidRDefault="001673CE" w:rsidP="00CC5243">
            <w:pPr>
              <w:spacing w:after="0" w:line="240" w:lineRule="auto"/>
              <w:jc w:val="both"/>
              <w:rPr>
                <w:rFonts w:ascii="Times New Roman" w:hAnsi="Times New Roman"/>
                <w:color w:val="333333"/>
                <w:sz w:val="24"/>
                <w:szCs w:val="24"/>
                <w:lang w:eastAsia="uk-UA"/>
              </w:rPr>
            </w:pPr>
          </w:p>
        </w:tc>
      </w:tr>
    </w:tbl>
    <w:p w14:paraId="4B5DEE40" w14:textId="77777777" w:rsidR="008A254F" w:rsidRDefault="008A254F" w:rsidP="008A254F"/>
    <w:sectPr w:rsidR="008A254F" w:rsidSect="00804AD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1365119"/>
    <w:multiLevelType w:val="hybridMultilevel"/>
    <w:tmpl w:val="9F1EB198"/>
    <w:lvl w:ilvl="0" w:tplc="AB36C49C">
      <w:start w:val="1"/>
      <w:numFmt w:val="decimal"/>
      <w:lvlText w:val="%1."/>
      <w:lvlJc w:val="left"/>
      <w:pPr>
        <w:ind w:left="2203" w:hanging="360"/>
      </w:pPr>
      <w:rPr>
        <w:rFonts w:ascii="Times New Roman" w:hAnsi="Times New Roman" w:cs="Times New Roman" w:hint="default"/>
        <w:b/>
        <w:color w:val="auto"/>
        <w:sz w:val="22"/>
      </w:rPr>
    </w:lvl>
    <w:lvl w:ilvl="1" w:tplc="04220019">
      <w:start w:val="1"/>
      <w:numFmt w:val="lowerLetter"/>
      <w:lvlText w:val="%2."/>
      <w:lvlJc w:val="left"/>
      <w:pPr>
        <w:ind w:left="2923" w:hanging="360"/>
      </w:pPr>
    </w:lvl>
    <w:lvl w:ilvl="2" w:tplc="0422001B">
      <w:start w:val="1"/>
      <w:numFmt w:val="lowerRoman"/>
      <w:lvlText w:val="%3."/>
      <w:lvlJc w:val="right"/>
      <w:pPr>
        <w:ind w:left="3643" w:hanging="180"/>
      </w:pPr>
    </w:lvl>
    <w:lvl w:ilvl="3" w:tplc="0422000F">
      <w:start w:val="1"/>
      <w:numFmt w:val="decimal"/>
      <w:lvlText w:val="%4."/>
      <w:lvlJc w:val="left"/>
      <w:pPr>
        <w:ind w:left="4363" w:hanging="360"/>
      </w:pPr>
    </w:lvl>
    <w:lvl w:ilvl="4" w:tplc="04220019">
      <w:start w:val="1"/>
      <w:numFmt w:val="lowerLetter"/>
      <w:lvlText w:val="%5."/>
      <w:lvlJc w:val="left"/>
      <w:pPr>
        <w:ind w:left="5083" w:hanging="360"/>
      </w:pPr>
    </w:lvl>
    <w:lvl w:ilvl="5" w:tplc="0422001B">
      <w:start w:val="1"/>
      <w:numFmt w:val="lowerRoman"/>
      <w:lvlText w:val="%6."/>
      <w:lvlJc w:val="right"/>
      <w:pPr>
        <w:ind w:left="5803" w:hanging="180"/>
      </w:pPr>
    </w:lvl>
    <w:lvl w:ilvl="6" w:tplc="0422000F">
      <w:start w:val="1"/>
      <w:numFmt w:val="decimal"/>
      <w:lvlText w:val="%7."/>
      <w:lvlJc w:val="left"/>
      <w:pPr>
        <w:ind w:left="6523" w:hanging="360"/>
      </w:pPr>
    </w:lvl>
    <w:lvl w:ilvl="7" w:tplc="04220019">
      <w:start w:val="1"/>
      <w:numFmt w:val="lowerLetter"/>
      <w:lvlText w:val="%8."/>
      <w:lvlJc w:val="left"/>
      <w:pPr>
        <w:ind w:left="7243" w:hanging="360"/>
      </w:pPr>
    </w:lvl>
    <w:lvl w:ilvl="8" w:tplc="0422001B">
      <w:start w:val="1"/>
      <w:numFmt w:val="lowerRoman"/>
      <w:lvlText w:val="%9."/>
      <w:lvlJc w:val="right"/>
      <w:pPr>
        <w:ind w:left="7963" w:hanging="180"/>
      </w:pPr>
    </w:lvl>
  </w:abstractNum>
  <w:abstractNum w:abstractNumId="2"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3"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78546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957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978464">
    <w:abstractNumId w:val="4"/>
  </w:num>
  <w:num w:numId="4" w16cid:durableId="74268486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660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01DC7"/>
    <w:rsid w:val="000115F4"/>
    <w:rsid w:val="0001694B"/>
    <w:rsid w:val="00031EA1"/>
    <w:rsid w:val="00044522"/>
    <w:rsid w:val="00045C3C"/>
    <w:rsid w:val="000A0BAA"/>
    <w:rsid w:val="000A3433"/>
    <w:rsid w:val="000C139B"/>
    <w:rsid w:val="001021A3"/>
    <w:rsid w:val="00110513"/>
    <w:rsid w:val="00130303"/>
    <w:rsid w:val="001449E3"/>
    <w:rsid w:val="00161C3B"/>
    <w:rsid w:val="00162A48"/>
    <w:rsid w:val="001673CE"/>
    <w:rsid w:val="001C7DA3"/>
    <w:rsid w:val="001F083E"/>
    <w:rsid w:val="001F0BAA"/>
    <w:rsid w:val="0021703B"/>
    <w:rsid w:val="00281ED3"/>
    <w:rsid w:val="002B1867"/>
    <w:rsid w:val="002C0E36"/>
    <w:rsid w:val="002C63FD"/>
    <w:rsid w:val="002E2FE6"/>
    <w:rsid w:val="002F268D"/>
    <w:rsid w:val="0032572C"/>
    <w:rsid w:val="00336387"/>
    <w:rsid w:val="0037784B"/>
    <w:rsid w:val="003B4258"/>
    <w:rsid w:val="00411A27"/>
    <w:rsid w:val="00444A6D"/>
    <w:rsid w:val="00453140"/>
    <w:rsid w:val="00467E62"/>
    <w:rsid w:val="004722CC"/>
    <w:rsid w:val="00482D62"/>
    <w:rsid w:val="00483FFA"/>
    <w:rsid w:val="00561993"/>
    <w:rsid w:val="0057416C"/>
    <w:rsid w:val="0059013D"/>
    <w:rsid w:val="005E0AEA"/>
    <w:rsid w:val="006259CF"/>
    <w:rsid w:val="00664CC7"/>
    <w:rsid w:val="006A02E6"/>
    <w:rsid w:val="006B3D58"/>
    <w:rsid w:val="007009CE"/>
    <w:rsid w:val="00713751"/>
    <w:rsid w:val="00720737"/>
    <w:rsid w:val="00774E8E"/>
    <w:rsid w:val="007A1FC3"/>
    <w:rsid w:val="007A29BC"/>
    <w:rsid w:val="007B2E56"/>
    <w:rsid w:val="007D48C7"/>
    <w:rsid w:val="00804ADE"/>
    <w:rsid w:val="00805ED1"/>
    <w:rsid w:val="00816C61"/>
    <w:rsid w:val="00850360"/>
    <w:rsid w:val="0085317D"/>
    <w:rsid w:val="00860763"/>
    <w:rsid w:val="00874B67"/>
    <w:rsid w:val="008770E1"/>
    <w:rsid w:val="00891064"/>
    <w:rsid w:val="00893A60"/>
    <w:rsid w:val="008A0537"/>
    <w:rsid w:val="008A254F"/>
    <w:rsid w:val="008D6726"/>
    <w:rsid w:val="008F2114"/>
    <w:rsid w:val="008F5AC0"/>
    <w:rsid w:val="00956F7B"/>
    <w:rsid w:val="009623FD"/>
    <w:rsid w:val="00962931"/>
    <w:rsid w:val="00974051"/>
    <w:rsid w:val="00974F66"/>
    <w:rsid w:val="009758F1"/>
    <w:rsid w:val="00983A42"/>
    <w:rsid w:val="009B4D03"/>
    <w:rsid w:val="009D50F6"/>
    <w:rsid w:val="009E7A54"/>
    <w:rsid w:val="00A315BF"/>
    <w:rsid w:val="00A44A94"/>
    <w:rsid w:val="00A84FD7"/>
    <w:rsid w:val="00AA5D3B"/>
    <w:rsid w:val="00AD183C"/>
    <w:rsid w:val="00AF4686"/>
    <w:rsid w:val="00B43BDF"/>
    <w:rsid w:val="00B50DE1"/>
    <w:rsid w:val="00B67BBC"/>
    <w:rsid w:val="00BB0438"/>
    <w:rsid w:val="00BF592F"/>
    <w:rsid w:val="00C44243"/>
    <w:rsid w:val="00CA675E"/>
    <w:rsid w:val="00CB5BAF"/>
    <w:rsid w:val="00CC5243"/>
    <w:rsid w:val="00DA15B7"/>
    <w:rsid w:val="00DD4339"/>
    <w:rsid w:val="00DD7335"/>
    <w:rsid w:val="00E248B6"/>
    <w:rsid w:val="00E26120"/>
    <w:rsid w:val="00E9046C"/>
    <w:rsid w:val="00EB3033"/>
    <w:rsid w:val="00EB7F33"/>
    <w:rsid w:val="00EF2CFA"/>
    <w:rsid w:val="00F13671"/>
    <w:rsid w:val="00F20FCE"/>
    <w:rsid w:val="00F9430F"/>
    <w:rsid w:val="00F96DE6"/>
    <w:rsid w:val="00FA4E3E"/>
    <w:rsid w:val="00FC2C2D"/>
    <w:rsid w:val="00FE22F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CA78"/>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AC List 01 Знак,Текст таблицы Знак,Number Bullets Знак,Elenco Normale Знак,Chapter10 Знак,Абзац списку 1 Знак,тв-Абзац списка Знак,List_Paragraph Знак"/>
    <w:link w:val="aa"/>
    <w:uiPriority w:val="34"/>
    <w:qFormat/>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AC List 01,Текст таблицы,Number Bullets,Elenco Normale,Chapter10,Абзац списку 1,тв-Абзац списка,List Paragraph (numbered (a)),List_Paragraph,Multilevel para_II,List Paragraph1,lp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paragraph" w:styleId="ab">
    <w:name w:val="Normal (Web)"/>
    <w:basedOn w:val="a"/>
    <w:uiPriority w:val="99"/>
    <w:unhideWhenUsed/>
    <w:rsid w:val="00B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secondary">
    <w:name w:val="text-secondary"/>
    <w:basedOn w:val="a"/>
    <w:rsid w:val="00805ED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c">
    <w:name w:val="Table Grid"/>
    <w:basedOn w:val="a1"/>
    <w:uiPriority w:val="59"/>
    <w:rsid w:val="001673CE"/>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38953946">
      <w:bodyDiv w:val="1"/>
      <w:marLeft w:val="0"/>
      <w:marRight w:val="0"/>
      <w:marTop w:val="0"/>
      <w:marBottom w:val="0"/>
      <w:divBdr>
        <w:top w:val="none" w:sz="0" w:space="0" w:color="auto"/>
        <w:left w:val="none" w:sz="0" w:space="0" w:color="auto"/>
        <w:bottom w:val="none" w:sz="0" w:space="0" w:color="auto"/>
        <w:right w:val="none" w:sz="0" w:space="0" w:color="auto"/>
      </w:divBdr>
    </w:div>
    <w:div w:id="24191277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9636927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833226191">
      <w:bodyDiv w:val="1"/>
      <w:marLeft w:val="0"/>
      <w:marRight w:val="0"/>
      <w:marTop w:val="0"/>
      <w:marBottom w:val="0"/>
      <w:divBdr>
        <w:top w:val="none" w:sz="0" w:space="0" w:color="auto"/>
        <w:left w:val="none" w:sz="0" w:space="0" w:color="auto"/>
        <w:bottom w:val="none" w:sz="0" w:space="0" w:color="auto"/>
        <w:right w:val="none" w:sz="0" w:space="0" w:color="auto"/>
      </w:divBdr>
    </w:div>
    <w:div w:id="85349444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728E-4325-4EBB-8120-BC8544B3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2946</Words>
  <Characters>1680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4</cp:revision>
  <cp:lastPrinted>2025-05-08T07:22:00Z</cp:lastPrinted>
  <dcterms:created xsi:type="dcterms:W3CDTF">2025-05-08T09:01:00Z</dcterms:created>
  <dcterms:modified xsi:type="dcterms:W3CDTF">2025-05-08T09:13:00Z</dcterms:modified>
</cp:coreProperties>
</file>